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92AD" w14:textId="5E0B25B0" w:rsidR="00091784" w:rsidRDefault="00091784" w:rsidP="00091784">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B9445D">
        <w:rPr>
          <w:rFonts w:ascii="Times New Roman" w:hAnsi="Times New Roman"/>
          <w:sz w:val="32"/>
          <w:szCs w:val="32"/>
        </w:rPr>
        <w:t>04544</w:t>
      </w:r>
    </w:p>
    <w:p w14:paraId="6A7AE18B" w14:textId="77777777" w:rsidR="00091784" w:rsidRDefault="00091784" w:rsidP="00091784">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Validate using measurements the channel model of TR38.901 at least for 7-24 </w:t>
      </w:r>
      <w:proofErr w:type="gramStart"/>
      <w:r w:rsidRPr="00A04BD4">
        <w:rPr>
          <w:i/>
          <w:iCs/>
          <w:sz w:val="22"/>
          <w:szCs w:val="22"/>
          <w:lang w:eastAsia="zh-CN"/>
        </w:rPr>
        <w:t>GHz</w:t>
      </w:r>
      <w:proofErr w:type="gramEnd"/>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6F35F427" w14:textId="03BBBCAE" w:rsidR="00091784" w:rsidRDefault="00091784" w:rsidP="003E6B44">
      <w:pPr>
        <w:jc w:val="both"/>
        <w:rPr>
          <w:sz w:val="22"/>
          <w:szCs w:val="22"/>
        </w:rPr>
      </w:pPr>
      <w:bookmarkStart w:id="2" w:name="_Hlk165381230"/>
      <w:r w:rsidRPr="00091784">
        <w:rPr>
          <w:sz w:val="22"/>
          <w:szCs w:val="22"/>
        </w:rPr>
        <w:t xml:space="preserve">At previous RAN1 meeting, initial agreements on channel modelling were agreed (see Appendix). </w:t>
      </w:r>
    </w:p>
    <w:bookmarkEnd w:id="2"/>
    <w:p w14:paraId="4B3AADF3" w14:textId="01D8A4C6"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The relationship between the electric and magnetic fields in the near field is governed by Maxwell's equations, which describe how electric and magnetic fields interact with each other.</w:t>
      </w:r>
      <w:r w:rsidR="00A85870">
        <w:rPr>
          <w:sz w:val="22"/>
          <w:szCs w:val="22"/>
          <w:lang w:val="en-US" w:eastAsia="ja-JP"/>
        </w:rPr>
        <w:t xml:space="preserve"> </w:t>
      </w:r>
      <w:r w:rsidRPr="004E1523">
        <w:rPr>
          <w:sz w:val="22"/>
          <w:szCs w:val="22"/>
          <w:lang w:val="en-US" w:eastAsia="ja-JP"/>
        </w:rPr>
        <w:t xml:space="preserve">In the near field, electromagnetic </w:t>
      </w:r>
      <w:r w:rsidRPr="004E1523">
        <w:rPr>
          <w:sz w:val="22"/>
          <w:szCs w:val="22"/>
          <w:lang w:val="en-US" w:eastAsia="ja-JP"/>
        </w:rPr>
        <w:lastRenderedPageBreak/>
        <w:t>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This means that energy transfer occurs through the exchange of 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lastRenderedPageBreak/>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3BB90278"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D01276">
        <w:rPr>
          <w:rFonts w:ascii="Times New Roman" w:hAnsi="Times New Roman"/>
          <w:lang w:val="en-US"/>
        </w:rPr>
        <w:t>Ray tracing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lastRenderedPageBreak/>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5CEA75CA" w14:textId="4199F4C0" w:rsidR="00E05912" w:rsidRDefault="00E05912" w:rsidP="00E05912">
      <w:pPr>
        <w:jc w:val="both"/>
        <w:rPr>
          <w:sz w:val="22"/>
          <w:szCs w:val="22"/>
          <w:lang w:val="en-US" w:eastAsia="ja-JP"/>
        </w:rPr>
      </w:pPr>
      <w:proofErr w:type="gramStart"/>
      <w:r>
        <w:rPr>
          <w:sz w:val="22"/>
          <w:szCs w:val="22"/>
        </w:rPr>
        <w:t>In particular, f</w:t>
      </w:r>
      <w:r w:rsidRPr="00E05912">
        <w:rPr>
          <w:sz w:val="22"/>
          <w:szCs w:val="22"/>
          <w:lang w:val="en-US" w:eastAsia="ja-JP"/>
        </w:rPr>
        <w:t>or</w:t>
      </w:r>
      <w:proofErr w:type="gramEnd"/>
      <w:r w:rsidRPr="00E05912">
        <w:rPr>
          <w:sz w:val="22"/>
          <w:szCs w:val="22"/>
          <w:lang w:val="en-US" w:eastAsia="ja-JP"/>
        </w:rPr>
        <w:t xml:space="preserve"> near-field channel, </w:t>
      </w:r>
      <w:r>
        <w:rPr>
          <w:sz w:val="22"/>
          <w:szCs w:val="22"/>
          <w:lang w:val="en-US" w:eastAsia="ja-JP"/>
        </w:rPr>
        <w:t>it is necessary</w:t>
      </w:r>
      <w:r w:rsidRPr="00E05912">
        <w:rPr>
          <w:sz w:val="22"/>
          <w:szCs w:val="22"/>
          <w:lang w:val="en-US" w:eastAsia="ja-JP"/>
        </w:rPr>
        <w:t xml:space="preserve"> to model the antenna element-wise channel parameters of direct path between TRP and UE, </w:t>
      </w:r>
      <w:r>
        <w:rPr>
          <w:sz w:val="22"/>
          <w:szCs w:val="22"/>
          <w:lang w:val="en-US" w:eastAsia="ja-JP"/>
        </w:rPr>
        <w:t xml:space="preserve">including </w:t>
      </w:r>
      <w:r>
        <w:rPr>
          <w:sz w:val="22"/>
          <w:szCs w:val="22"/>
          <w:lang w:val="en-US"/>
        </w:rPr>
        <w:t>a</w:t>
      </w:r>
      <w:r w:rsidRPr="00E05912">
        <w:rPr>
          <w:sz w:val="22"/>
          <w:szCs w:val="22"/>
          <w:lang w:val="en-US" w:eastAsia="ja-JP"/>
        </w:rPr>
        <w:t xml:space="preserve">ngular domain parameters (i.e., AoA, AoD, ZoA, ZoD), </w:t>
      </w:r>
      <w:r>
        <w:rPr>
          <w:sz w:val="22"/>
          <w:szCs w:val="22"/>
          <w:lang w:val="en-US" w:eastAsia="ja-JP"/>
        </w:rPr>
        <w:t>d</w:t>
      </w:r>
      <w:r w:rsidRPr="00E05912">
        <w:rPr>
          <w:sz w:val="22"/>
          <w:szCs w:val="22"/>
          <w:lang w:val="en-US" w:eastAsia="ja-JP"/>
        </w:rPr>
        <w:t xml:space="preserve">elay, initial phase, Doppler shift, </w:t>
      </w:r>
      <w:r>
        <w:rPr>
          <w:sz w:val="22"/>
          <w:szCs w:val="22"/>
          <w:lang w:val="en-US" w:eastAsia="ja-JP"/>
        </w:rPr>
        <w:t>and a</w:t>
      </w:r>
      <w:r w:rsidRPr="00E05912">
        <w:rPr>
          <w:sz w:val="22"/>
          <w:szCs w:val="22"/>
          <w:lang w:val="en-US" w:eastAsia="ja-JP"/>
        </w:rPr>
        <w:t>mplitude</w:t>
      </w:r>
      <w:r>
        <w:rPr>
          <w:sz w:val="22"/>
          <w:szCs w:val="22"/>
          <w:lang w:val="en-US" w:eastAsia="ja-JP"/>
        </w:rPr>
        <w:t xml:space="preserve">. </w:t>
      </w:r>
      <w:r w:rsidRPr="00E05912">
        <w:rPr>
          <w:sz w:val="22"/>
          <w:szCs w:val="22"/>
          <w:lang w:val="en-US" w:eastAsia="ja-JP"/>
        </w:rPr>
        <w:t xml:space="preserve">The antenna element-wise channel parameters of </w:t>
      </w:r>
      <w:r>
        <w:rPr>
          <w:sz w:val="22"/>
          <w:szCs w:val="22"/>
          <w:lang w:val="en-US" w:eastAsia="ja-JP"/>
        </w:rPr>
        <w:t>the direct path between TRP and UE</w:t>
      </w:r>
      <w:r w:rsidRPr="00E05912">
        <w:rPr>
          <w:sz w:val="22"/>
          <w:szCs w:val="22"/>
          <w:lang w:val="en-US" w:eastAsia="ja-JP"/>
        </w:rPr>
        <w:t xml:space="preserve"> </w:t>
      </w:r>
      <w:r>
        <w:rPr>
          <w:sz w:val="22"/>
          <w:szCs w:val="22"/>
          <w:lang w:val="en-US" w:eastAsia="ja-JP"/>
        </w:rPr>
        <w:t>should be</w:t>
      </w:r>
      <w:r w:rsidRPr="00E05912">
        <w:rPr>
          <w:sz w:val="22"/>
          <w:szCs w:val="22"/>
          <w:lang w:val="en-US" w:eastAsia="ja-JP"/>
        </w:rPr>
        <w:t xml:space="preserve"> </w:t>
      </w:r>
      <w:r>
        <w:rPr>
          <w:sz w:val="22"/>
          <w:szCs w:val="22"/>
          <w:lang w:val="en-US" w:eastAsia="ja-JP"/>
        </w:rPr>
        <w:t>d</w:t>
      </w:r>
      <w:r w:rsidRPr="00E05912">
        <w:rPr>
          <w:sz w:val="22"/>
          <w:szCs w:val="22"/>
          <w:lang w:val="en-US" w:eastAsia="ja-JP"/>
        </w:rPr>
        <w:t>etermined by the antenna element locations of both TRP and UE</w:t>
      </w:r>
      <w:r>
        <w:rPr>
          <w:sz w:val="22"/>
          <w:szCs w:val="22"/>
          <w:lang w:val="en-US" w:eastAsia="ja-JP"/>
        </w:rPr>
        <w:t>.</w:t>
      </w:r>
    </w:p>
    <w:p w14:paraId="6EA45D88" w14:textId="5EF130CC" w:rsidR="00E05912" w:rsidRPr="00E05912" w:rsidRDefault="00E05912" w:rsidP="00E05912">
      <w:pPr>
        <w:jc w:val="both"/>
        <w:rPr>
          <w:b/>
          <w:bCs/>
          <w:sz w:val="22"/>
          <w:szCs w:val="22"/>
          <w:lang w:val="en-US" w:eastAsia="ja-JP"/>
        </w:rPr>
      </w:pPr>
      <w:r w:rsidRPr="00E05912">
        <w:rPr>
          <w:b/>
          <w:bCs/>
          <w:sz w:val="22"/>
          <w:szCs w:val="22"/>
        </w:rPr>
        <w:t>Proposal 2: F</w:t>
      </w:r>
      <w:r w:rsidRPr="00E05912">
        <w:rPr>
          <w:b/>
          <w:bCs/>
          <w:sz w:val="22"/>
          <w:szCs w:val="22"/>
          <w:lang w:val="en-US" w:eastAsia="ja-JP"/>
        </w:rPr>
        <w:t xml:space="preserve">or near-field channel, it is necessary to model the antenna element-wise channel parameters of direct path between TRP and UE, including </w:t>
      </w:r>
      <w:r w:rsidRPr="00E05912">
        <w:rPr>
          <w:b/>
          <w:bCs/>
          <w:sz w:val="22"/>
          <w:szCs w:val="22"/>
          <w:lang w:val="en-US"/>
        </w:rPr>
        <w:t>a</w:t>
      </w:r>
      <w:r w:rsidRPr="00E05912">
        <w:rPr>
          <w:b/>
          <w:bCs/>
          <w:sz w:val="22"/>
          <w:szCs w:val="22"/>
          <w:lang w:val="en-US" w:eastAsia="ja-JP"/>
        </w:rPr>
        <w:t>ngular domain parameters (i.e., AoA, AoD, ZoA, ZoD), delay, initial phase, Doppler shift, and amplitude.</w:t>
      </w:r>
    </w:p>
    <w:p w14:paraId="47E27D5F" w14:textId="2D145CE8" w:rsidR="00E05912" w:rsidRPr="00E05912" w:rsidRDefault="00E05912" w:rsidP="00E05912">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A1F36EF" w14:textId="77777777" w:rsidR="00E05912" w:rsidRPr="00A230FB" w:rsidRDefault="00E05912" w:rsidP="003365F4">
      <w:pPr>
        <w:jc w:val="both"/>
        <w:rPr>
          <w:b/>
          <w:bCs/>
          <w:sz w:val="22"/>
          <w:szCs w:val="22"/>
        </w:rPr>
      </w:pP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lastRenderedPageBreak/>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4A424F5A" w14:textId="77777777" w:rsidR="004F2DD3" w:rsidRPr="00E05912" w:rsidRDefault="004F2DD3" w:rsidP="004F2DD3">
      <w:pPr>
        <w:jc w:val="both"/>
        <w:rPr>
          <w:b/>
          <w:bCs/>
          <w:sz w:val="22"/>
          <w:szCs w:val="22"/>
          <w:lang w:val="en-US" w:eastAsia="ja-JP"/>
        </w:rPr>
      </w:pPr>
      <w:r w:rsidRPr="00E05912">
        <w:rPr>
          <w:b/>
          <w:bCs/>
          <w:sz w:val="22"/>
          <w:szCs w:val="22"/>
        </w:rPr>
        <w:t>Proposal 2: F</w:t>
      </w:r>
      <w:r w:rsidRPr="00E05912">
        <w:rPr>
          <w:b/>
          <w:bCs/>
          <w:sz w:val="22"/>
          <w:szCs w:val="22"/>
          <w:lang w:val="en-US" w:eastAsia="ja-JP"/>
        </w:rPr>
        <w:t xml:space="preserve">or near-field channel, it is necessary to model the antenna element-wise channel parameters of direct path between TRP and UE, including </w:t>
      </w:r>
      <w:r w:rsidRPr="00E05912">
        <w:rPr>
          <w:b/>
          <w:bCs/>
          <w:sz w:val="22"/>
          <w:szCs w:val="22"/>
          <w:lang w:val="en-US"/>
        </w:rPr>
        <w:t>a</w:t>
      </w:r>
      <w:r w:rsidRPr="00E05912">
        <w:rPr>
          <w:b/>
          <w:bCs/>
          <w:sz w:val="22"/>
          <w:szCs w:val="22"/>
          <w:lang w:val="en-US" w:eastAsia="ja-JP"/>
        </w:rPr>
        <w:t>ngular domain parameters (i.e., AoA, AoD, ZoA, ZoD), delay, initial phase, Doppler shift, and amplitude.</w:t>
      </w:r>
    </w:p>
    <w:p w14:paraId="033603F4" w14:textId="63B98B8F" w:rsidR="004F2DD3" w:rsidRPr="004F2DD3" w:rsidRDefault="004F2DD3" w:rsidP="00206712">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3" w:name="_Ref156292912"/>
      <w:bookmarkStart w:id="4"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3"/>
    </w:p>
    <w:p w14:paraId="2DC0D5AD" w14:textId="088FEBE5" w:rsidR="004A4F1E" w:rsidRDefault="007B44D5" w:rsidP="001065D0">
      <w:pPr>
        <w:pStyle w:val="Reference"/>
        <w:rPr>
          <w:rFonts w:ascii="Times New Roman" w:hAnsi="Times New Roman"/>
        </w:rPr>
      </w:pPr>
      <w:bookmarkStart w:id="5"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6" w:name="_Ref138771260"/>
      <w:bookmarkEnd w:id="6"/>
      <w:bookmarkEnd w:id="4"/>
      <w:bookmarkEnd w:id="5"/>
    </w:p>
    <w:p w14:paraId="49D6EC33" w14:textId="0E821C70" w:rsidR="007518FD" w:rsidRPr="007518FD" w:rsidRDefault="00104A69" w:rsidP="007518FD">
      <w:pPr>
        <w:pStyle w:val="Reference"/>
        <w:rPr>
          <w:rFonts w:ascii="Times New Roman" w:hAnsi="Times New Roman"/>
        </w:rPr>
      </w:pPr>
      <w:bookmarkStart w:id="7" w:name="_Ref161318455"/>
      <w:r w:rsidRPr="00104A69">
        <w:rPr>
          <w:rFonts w:ascii="Times New Roman" w:hAnsi="Times New Roman"/>
        </w:rPr>
        <w:t xml:space="preserve">S. Kasdorf, B. Troksa, C. Key, J. Harmon, S. Pasricha and B. M. Notaroš, </w:t>
      </w:r>
      <w:r>
        <w:rPr>
          <w:rFonts w:ascii="Times New Roman" w:hAnsi="Times New Roman"/>
        </w:rPr>
        <w:t>“</w:t>
      </w:r>
      <w:r w:rsidRPr="00104A69">
        <w:rPr>
          <w:rFonts w:ascii="Times New Roman" w:hAnsi="Times New Roman"/>
        </w:rPr>
        <w:t>Parallel GPU Optimization of the Shooting and Bouncing Ray Tracing Methodology for Propagation Modeling,</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7"/>
    </w:p>
    <w:p w14:paraId="5BB15644" w14:textId="77777777" w:rsidR="007518FD" w:rsidRPr="007A13BD" w:rsidRDefault="007518FD" w:rsidP="007518FD">
      <w:pPr>
        <w:pStyle w:val="Heading1"/>
        <w:rPr>
          <w:rFonts w:ascii="Times New Roman" w:hAnsi="Times New Roman"/>
          <w:lang w:val="en-US"/>
        </w:rPr>
      </w:pPr>
      <w:bookmarkStart w:id="8" w:name="_Hlk160615898"/>
      <w:r>
        <w:rPr>
          <w:rFonts w:ascii="Times New Roman" w:hAnsi="Times New Roman"/>
          <w:lang w:val="en-US"/>
        </w:rPr>
        <w:t>Appendix</w:t>
      </w:r>
    </w:p>
    <w:p w14:paraId="3D47459F" w14:textId="77777777" w:rsidR="007518FD" w:rsidRPr="008A440B" w:rsidRDefault="007518FD" w:rsidP="007518F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8"/>
    <w:p w14:paraId="21E38E7D" w14:textId="77777777" w:rsidR="007518FD" w:rsidRDefault="007518FD" w:rsidP="007518FD">
      <w:r w:rsidRPr="003820AD">
        <w:rPr>
          <w:highlight w:val="green"/>
        </w:rPr>
        <w:t>Agreement</w:t>
      </w:r>
    </w:p>
    <w:p w14:paraId="2FB5CFE3" w14:textId="7D8F734A" w:rsidR="007518FD" w:rsidRDefault="007518FD" w:rsidP="007518FD">
      <w:r>
        <w:t>The antenna array is assumed for the near-field study.</w:t>
      </w:r>
    </w:p>
    <w:p w14:paraId="6CF4F1E8" w14:textId="77777777" w:rsidR="007518FD" w:rsidRDefault="007518FD" w:rsidP="007518FD">
      <w:r w:rsidRPr="003820AD">
        <w:rPr>
          <w:highlight w:val="green"/>
        </w:rPr>
        <w:t>Agreement</w:t>
      </w:r>
    </w:p>
    <w:p w14:paraId="0BF14533" w14:textId="77777777" w:rsidR="007518FD" w:rsidRDefault="007518FD" w:rsidP="007518FD">
      <w:r>
        <w:t>For the study of near-field channel modelling, at least following aspects should be considered:</w:t>
      </w:r>
    </w:p>
    <w:p w14:paraId="41F86901" w14:textId="77777777" w:rsidR="007518FD" w:rsidRDefault="007518FD" w:rsidP="007518FD">
      <w:pPr>
        <w:pStyle w:val="ListParagraph"/>
        <w:numPr>
          <w:ilvl w:val="0"/>
          <w:numId w:val="6"/>
        </w:numPr>
      </w:pPr>
      <w:r>
        <w:t>Whether/How to define the near-field region.</w:t>
      </w:r>
    </w:p>
    <w:p w14:paraId="71E11D08" w14:textId="77777777" w:rsidR="007518FD" w:rsidRDefault="007518FD" w:rsidP="007518FD">
      <w:pPr>
        <w:pStyle w:val="ListParagraph"/>
        <w:numPr>
          <w:ilvl w:val="0"/>
          <w:numId w:val="6"/>
        </w:numPr>
      </w:pPr>
      <w:r>
        <w:t>The parameters variation for each ray/cluster across different antenna element pairs.</w:t>
      </w:r>
    </w:p>
    <w:p w14:paraId="6B6650D2" w14:textId="77777777" w:rsidR="007518FD" w:rsidRDefault="007518FD" w:rsidP="007518FD">
      <w:r w:rsidRPr="00C3431F">
        <w:rPr>
          <w:highlight w:val="green"/>
        </w:rPr>
        <w:t>Agreement</w:t>
      </w:r>
    </w:p>
    <w:p w14:paraId="4F37698C" w14:textId="77777777" w:rsidR="007518FD" w:rsidRDefault="007518FD" w:rsidP="007518FD">
      <w:r>
        <w:t xml:space="preserve">The following scenarios defined in TR38.901 should be considered for the study/modelling of </w:t>
      </w:r>
      <w:proofErr w:type="gramStart"/>
      <w:r>
        <w:t>near-field</w:t>
      </w:r>
      <w:proofErr w:type="gramEnd"/>
      <w:r>
        <w:t>.</w:t>
      </w:r>
    </w:p>
    <w:p w14:paraId="1BD8F102" w14:textId="77777777" w:rsidR="007518FD" w:rsidRDefault="007518FD" w:rsidP="007518FD">
      <w:pPr>
        <w:pStyle w:val="ListParagraph"/>
        <w:numPr>
          <w:ilvl w:val="0"/>
          <w:numId w:val="7"/>
        </w:numPr>
      </w:pPr>
      <w:proofErr w:type="gramStart"/>
      <w:r>
        <w:t>UMa,UMi</w:t>
      </w:r>
      <w:proofErr w:type="gramEnd"/>
      <w:r>
        <w:t>, Indoor office and Indoor factory</w:t>
      </w:r>
    </w:p>
    <w:p w14:paraId="6CA2A8B3" w14:textId="77777777" w:rsidR="007518FD" w:rsidRDefault="007518FD" w:rsidP="007518FD">
      <w:pPr>
        <w:pStyle w:val="ListParagraph"/>
        <w:numPr>
          <w:ilvl w:val="0"/>
          <w:numId w:val="7"/>
        </w:numPr>
      </w:pPr>
      <w:r>
        <w:t>FFS: RMa and other new scenarios</w:t>
      </w:r>
    </w:p>
    <w:p w14:paraId="372EC61A" w14:textId="77777777" w:rsidR="007518FD" w:rsidRDefault="007518FD" w:rsidP="007518FD">
      <w:r w:rsidRPr="00C3431F">
        <w:rPr>
          <w:highlight w:val="green"/>
        </w:rPr>
        <w:t>Agreement</w:t>
      </w:r>
    </w:p>
    <w:p w14:paraId="18729CA7" w14:textId="77777777" w:rsidR="007518FD" w:rsidRDefault="007518FD" w:rsidP="007518FD">
      <w:r>
        <w:t>For the assumption on the aperture size of antenna array, the following is considered as reference for channel model study.</w:t>
      </w:r>
    </w:p>
    <w:p w14:paraId="7FF077E6" w14:textId="77777777" w:rsidR="007518FD" w:rsidRDefault="007518FD" w:rsidP="007518FD">
      <w:pPr>
        <w:pStyle w:val="ListParagraph"/>
        <w:numPr>
          <w:ilvl w:val="0"/>
          <w:numId w:val="8"/>
        </w:numPr>
      </w:pPr>
      <w:r>
        <w:t xml:space="preserve">up to [TBD] m, </w:t>
      </w:r>
      <w:proofErr w:type="gramStart"/>
      <w:r>
        <w:t>or  [</w:t>
      </w:r>
      <w:proofErr w:type="gramEnd"/>
      <w:r>
        <w:t>TBD] lambda for UMi</w:t>
      </w:r>
    </w:p>
    <w:p w14:paraId="4734AC77" w14:textId="77777777" w:rsidR="007518FD" w:rsidRDefault="007518FD" w:rsidP="007518FD">
      <w:pPr>
        <w:pStyle w:val="ListParagraph"/>
        <w:numPr>
          <w:ilvl w:val="0"/>
          <w:numId w:val="8"/>
        </w:numPr>
      </w:pPr>
      <w:r>
        <w:lastRenderedPageBreak/>
        <w:t>up to [TBD] m, or [TBD] lambda for UMa</w:t>
      </w:r>
    </w:p>
    <w:p w14:paraId="4AC91916" w14:textId="77777777" w:rsidR="007518FD" w:rsidRDefault="007518FD" w:rsidP="007518FD">
      <w:pPr>
        <w:pStyle w:val="ListParagraph"/>
        <w:numPr>
          <w:ilvl w:val="0"/>
          <w:numId w:val="8"/>
        </w:numPr>
      </w:pPr>
      <w:r>
        <w:t>up to [TBD] m, or [ TBD] lambda for Indoor office</w:t>
      </w:r>
    </w:p>
    <w:p w14:paraId="1FD44240" w14:textId="77777777" w:rsidR="007518FD" w:rsidRDefault="007518FD" w:rsidP="007518FD">
      <w:pPr>
        <w:pStyle w:val="ListParagraph"/>
        <w:numPr>
          <w:ilvl w:val="0"/>
          <w:numId w:val="8"/>
        </w:numPr>
      </w:pPr>
      <w:r>
        <w:t>up to [TBD] m, or [TBD] lambda for Indoor factory</w:t>
      </w:r>
    </w:p>
    <w:p w14:paraId="1D092657"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3109B45" w14:textId="77777777" w:rsidR="007518FD" w:rsidRPr="00672DDF" w:rsidRDefault="007518FD" w:rsidP="007518FD">
      <w:pPr>
        <w:rPr>
          <w:rFonts w:eastAsia="DengXian"/>
          <w:lang w:eastAsia="zh-CN"/>
        </w:rPr>
      </w:pPr>
      <w:r w:rsidRPr="00672DDF">
        <w:rPr>
          <w:rFonts w:eastAsia="DengXian"/>
          <w:lang w:eastAsia="zh-CN"/>
        </w:rPr>
        <w:t>For the near-field channel model:</w:t>
      </w:r>
    </w:p>
    <w:p w14:paraId="2F215A5E" w14:textId="77777777" w:rsidR="007518FD" w:rsidRPr="00672DDF" w:rsidRDefault="007518FD" w:rsidP="007518FD">
      <w:pPr>
        <w:pStyle w:val="ListParagraph"/>
        <w:numPr>
          <w:ilvl w:val="0"/>
          <w:numId w:val="9"/>
        </w:numPr>
      </w:pPr>
      <w:r w:rsidRPr="00672DDF">
        <w:t>The impact of the assumption of wavefront is only considered from the perspective of antenna array.</w:t>
      </w:r>
    </w:p>
    <w:p w14:paraId="2D9499C0" w14:textId="77777777" w:rsidR="007518FD" w:rsidRPr="00672DDF" w:rsidRDefault="007518FD" w:rsidP="007518FD">
      <w:pPr>
        <w:pStyle w:val="ListParagraph"/>
        <w:numPr>
          <w:ilvl w:val="0"/>
          <w:numId w:val="9"/>
        </w:numPr>
      </w:pPr>
      <w:r w:rsidRPr="00672DDF">
        <w:t xml:space="preserve">The near field for each element within the antenna array is not considered in this SI. </w:t>
      </w:r>
    </w:p>
    <w:p w14:paraId="38DB1DD0"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49137DD8" w14:textId="77777777" w:rsidR="007518FD" w:rsidRPr="00672DDF" w:rsidRDefault="007518FD" w:rsidP="007518FD">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BCF93AD" w14:textId="77777777" w:rsidR="007518FD" w:rsidRPr="00672DDF" w:rsidRDefault="007518FD" w:rsidP="007518FD">
      <w:pPr>
        <w:pStyle w:val="ListParagraph"/>
        <w:numPr>
          <w:ilvl w:val="0"/>
          <w:numId w:val="10"/>
        </w:numPr>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p w14:paraId="3560FCE9"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64D33ECC" w14:textId="77777777" w:rsidR="007518FD" w:rsidRPr="00672DDF" w:rsidRDefault="007518FD" w:rsidP="007518FD">
      <w:pPr>
        <w:rPr>
          <w:rFonts w:eastAsia="DengXian"/>
          <w:lang w:eastAsia="zh-CN"/>
        </w:rPr>
      </w:pPr>
      <w:r w:rsidRPr="00672DDF">
        <w:rPr>
          <w:rFonts w:eastAsia="DengXian"/>
          <w:lang w:eastAsia="zh-CN"/>
        </w:rPr>
        <w:t>The near- or far-field condition should be studied for the direct path and non-direct paths between BS and UE.</w:t>
      </w:r>
    </w:p>
    <w:p w14:paraId="171D153E" w14:textId="77777777" w:rsidR="007518FD" w:rsidRPr="00672DDF" w:rsidRDefault="007518FD" w:rsidP="007518FD">
      <w:pPr>
        <w:numPr>
          <w:ilvl w:val="0"/>
          <w:numId w:val="11"/>
        </w:numPr>
        <w:overflowPunct/>
        <w:autoSpaceDE/>
        <w:autoSpaceDN/>
        <w:adjustRightInd/>
        <w:spacing w:after="0"/>
        <w:textAlignment w:val="auto"/>
      </w:pPr>
      <w:r w:rsidRPr="00672DDF">
        <w:t>The near-/far-field condition for the direct path may be assessed by using the 3D BS-UE distance.</w:t>
      </w:r>
    </w:p>
    <w:p w14:paraId="51C4AC09" w14:textId="77777777" w:rsidR="007518FD" w:rsidRPr="00672DDF" w:rsidRDefault="007518FD" w:rsidP="007518FD">
      <w:pPr>
        <w:numPr>
          <w:ilvl w:val="1"/>
          <w:numId w:val="11"/>
        </w:numPr>
        <w:overflowPunct/>
        <w:autoSpaceDE/>
        <w:autoSpaceDN/>
        <w:adjustRightInd/>
        <w:spacing w:after="0"/>
        <w:textAlignment w:val="auto"/>
      </w:pPr>
      <w:r w:rsidRPr="00672DDF">
        <w:t>FFS: The determination of near-/far-field condition for the non-direct paths</w:t>
      </w:r>
    </w:p>
    <w:p w14:paraId="0108BE2C" w14:textId="77777777" w:rsidR="007518FD" w:rsidRPr="00672DDF" w:rsidRDefault="007518FD" w:rsidP="007518FD">
      <w:pPr>
        <w:numPr>
          <w:ilvl w:val="0"/>
          <w:numId w:val="11"/>
        </w:numPr>
        <w:overflowPunct/>
        <w:autoSpaceDE/>
        <w:autoSpaceDN/>
        <w:adjustRightInd/>
        <w:spacing w:after="0"/>
        <w:textAlignment w:val="auto"/>
      </w:pPr>
      <w:r w:rsidRPr="00672DDF">
        <w:t>Note</w:t>
      </w:r>
      <w:r w:rsidRPr="00672DDF">
        <w:rPr>
          <w:rFonts w:eastAsia="DengXian"/>
          <w:lang w:eastAsia="zh-CN"/>
        </w:rPr>
        <w:t>:</w:t>
      </w:r>
      <w:r w:rsidRPr="00672DDF">
        <w:t xml:space="preserve"> The direct path is </w:t>
      </w:r>
      <w:r w:rsidRPr="00672DDF">
        <w:rPr>
          <w:rFonts w:eastAsia="DengXian"/>
          <w:lang w:eastAsia="zh-CN"/>
        </w:rPr>
        <w:t xml:space="preserve">referring to </w:t>
      </w:r>
      <w:r w:rsidRPr="00672DDF">
        <w:t>the LoS ray in the TR 38.901</w:t>
      </w:r>
      <w:r w:rsidRPr="00672DDF">
        <w:rPr>
          <w:rFonts w:eastAsia="DengXian"/>
          <w:lang w:eastAsia="zh-CN"/>
        </w:rPr>
        <w:t xml:space="preserve"> in principle</w:t>
      </w:r>
      <w:r w:rsidRPr="00672DDF">
        <w:t>.</w:t>
      </w:r>
    </w:p>
    <w:p w14:paraId="47745CD9" w14:textId="77777777" w:rsidR="007518FD" w:rsidRPr="00672DDF" w:rsidRDefault="007518FD" w:rsidP="007518FD">
      <w:pPr>
        <w:numPr>
          <w:ilvl w:val="0"/>
          <w:numId w:val="11"/>
        </w:numPr>
        <w:overflowPunct/>
        <w:autoSpaceDE/>
        <w:autoSpaceDN/>
        <w:adjustRightInd/>
        <w:spacing w:after="0"/>
        <w:textAlignment w:val="auto"/>
      </w:pPr>
      <w:r w:rsidRPr="00672DDF">
        <w:t>Note: The non-direct path</w:t>
      </w:r>
      <w:r w:rsidRPr="00672DDF">
        <w:rPr>
          <w:rFonts w:eastAsia="DengXian"/>
          <w:lang w:eastAsia="zh-CN"/>
        </w:rPr>
        <w:t xml:space="preserve">s </w:t>
      </w:r>
      <w:r w:rsidRPr="00672DDF">
        <w:t xml:space="preserve">are </w:t>
      </w:r>
      <w:r w:rsidRPr="00672DDF">
        <w:rPr>
          <w:rFonts w:eastAsia="DengXian"/>
          <w:lang w:eastAsia="zh-CN"/>
        </w:rPr>
        <w:t xml:space="preserve">referring to </w:t>
      </w:r>
      <w:r w:rsidRPr="00672DDF">
        <w:t>the cluster/ray(s</w:t>
      </w:r>
      <w:r w:rsidRPr="00672DDF">
        <w:rPr>
          <w:rFonts w:eastAsia="DengXian"/>
          <w:lang w:eastAsia="zh-CN"/>
        </w:rPr>
        <w:t xml:space="preserve">) without including LoS ray </w:t>
      </w:r>
      <w:r w:rsidRPr="00672DDF">
        <w:t>in the TR 38.901.</w:t>
      </w:r>
    </w:p>
    <w:p w14:paraId="561AD9E2" w14:textId="77777777" w:rsidR="007518FD" w:rsidRPr="00672DDF" w:rsidRDefault="007518FD" w:rsidP="007518FD">
      <w:pPr>
        <w:rPr>
          <w:rFonts w:eastAsia="DengXian"/>
          <w:lang w:eastAsia="zh-CN"/>
        </w:rPr>
      </w:pPr>
    </w:p>
    <w:p w14:paraId="5F258B5E" w14:textId="77777777" w:rsidR="007518FD" w:rsidRPr="00672DDF" w:rsidRDefault="007518FD" w:rsidP="007518FD">
      <w:pPr>
        <w:rPr>
          <w:rFonts w:eastAsia="DengXian"/>
          <w:highlight w:val="green"/>
          <w:lang w:eastAsia="zh-CN"/>
        </w:rPr>
      </w:pPr>
      <w:r w:rsidRPr="00672DDF">
        <w:rPr>
          <w:rFonts w:eastAsia="DengXian"/>
          <w:highlight w:val="green"/>
          <w:lang w:eastAsia="zh-CN"/>
        </w:rPr>
        <w:t xml:space="preserve">Agreement </w:t>
      </w:r>
    </w:p>
    <w:p w14:paraId="3E606DF0" w14:textId="77777777" w:rsidR="007518FD" w:rsidRPr="00672DDF" w:rsidRDefault="007518FD" w:rsidP="007518FD">
      <w:pPr>
        <w:rPr>
          <w:rFonts w:eastAsia="DengXian"/>
          <w:lang w:eastAsia="zh-CN"/>
        </w:rPr>
      </w:pPr>
      <w:r w:rsidRPr="00672DDF">
        <w:rPr>
          <w:rFonts w:eastAsia="DengXian"/>
          <w:lang w:eastAsia="zh-CN"/>
        </w:rPr>
        <w:t xml:space="preserve">For near-field channel, if necessary, to model the following antenna element-wise channel parameters of direct path between TRP and UE, </w:t>
      </w:r>
    </w:p>
    <w:p w14:paraId="14667365" w14:textId="77777777" w:rsidR="007518FD" w:rsidRPr="00672DDF" w:rsidRDefault="007518FD" w:rsidP="007518FD">
      <w:pPr>
        <w:pStyle w:val="ListParagraph"/>
        <w:numPr>
          <w:ilvl w:val="0"/>
          <w:numId w:val="12"/>
        </w:numPr>
      </w:pPr>
      <w:r w:rsidRPr="00672DDF">
        <w:t xml:space="preserve">Angular domain parameters (i.e., AoA, AoD, ZoA, ZoD), Delay, </w:t>
      </w:r>
      <w:r w:rsidRPr="00672DDF">
        <w:rPr>
          <w:rFonts w:eastAsia="DengXian"/>
          <w:lang w:eastAsia="zh-CN"/>
        </w:rPr>
        <w:t>initial p</w:t>
      </w:r>
      <w:r w:rsidRPr="00672DDF">
        <w:t>hase, Doppler shift, Amplitude</w:t>
      </w:r>
    </w:p>
    <w:p w14:paraId="3965B00D" w14:textId="77777777" w:rsidR="007518FD" w:rsidRPr="00672DDF" w:rsidRDefault="007518FD" w:rsidP="007518FD">
      <w:pPr>
        <w:pStyle w:val="ListParagraph"/>
        <w:numPr>
          <w:ilvl w:val="0"/>
          <w:numId w:val="12"/>
        </w:numPr>
        <w:spacing w:after="0"/>
        <w:ind w:left="714" w:hanging="357"/>
      </w:pPr>
      <w:r w:rsidRPr="00672DDF">
        <w:t>FFS: Impacts on the polarization</w:t>
      </w:r>
    </w:p>
    <w:p w14:paraId="0D1FABB5" w14:textId="77777777" w:rsidR="007518FD" w:rsidRPr="00672DDF" w:rsidRDefault="007518FD" w:rsidP="007518FD">
      <w:pPr>
        <w:rPr>
          <w:rFonts w:eastAsia="DengXian"/>
          <w:lang w:eastAsia="zh-CN"/>
        </w:rPr>
      </w:pPr>
      <w:r w:rsidRPr="00672DDF">
        <w:rPr>
          <w:rFonts w:eastAsia="DengXian"/>
          <w:lang w:eastAsia="zh-CN"/>
        </w:rPr>
        <w:t>The following options are considered:</w:t>
      </w:r>
    </w:p>
    <w:p w14:paraId="130AEF16" w14:textId="77777777" w:rsidR="007518FD" w:rsidRPr="00672DDF" w:rsidRDefault="007518FD" w:rsidP="007518FD">
      <w:pPr>
        <w:pStyle w:val="ListParagraph"/>
        <w:numPr>
          <w:ilvl w:val="0"/>
          <w:numId w:val="13"/>
        </w:numPr>
      </w:pPr>
      <w:r w:rsidRPr="00672DDF">
        <w:t>Option-1: Determined by the locations of both TRP and UE.</w:t>
      </w:r>
    </w:p>
    <w:p w14:paraId="2582D88A" w14:textId="77777777" w:rsidR="007518FD" w:rsidRPr="00672DDF" w:rsidRDefault="007518FD" w:rsidP="007518FD">
      <w:pPr>
        <w:pStyle w:val="ListParagraph"/>
        <w:numPr>
          <w:ilvl w:val="0"/>
          <w:numId w:val="13"/>
        </w:numPr>
      </w:pPr>
      <w:r w:rsidRPr="00672DDF">
        <w:t xml:space="preserve">Option-2: Determined by the </w:t>
      </w:r>
      <w:r w:rsidRPr="00672DDF">
        <w:rPr>
          <w:rFonts w:eastAsia="DengXian"/>
          <w:lang w:eastAsia="zh-CN"/>
        </w:rPr>
        <w:t xml:space="preserve">antenna </w:t>
      </w:r>
      <w:r w:rsidRPr="00672DDF">
        <w:t>element locations of both TRP and UE</w:t>
      </w:r>
    </w:p>
    <w:p w14:paraId="27B9ECCB"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22BDE63D" w14:textId="77777777" w:rsidR="007518FD" w:rsidRPr="00672DDF" w:rsidRDefault="007518FD" w:rsidP="007518FD">
      <w:pPr>
        <w:rPr>
          <w:rFonts w:eastAsia="DengXian"/>
          <w:lang w:eastAsia="zh-CN"/>
        </w:rPr>
      </w:pPr>
      <w:r w:rsidRPr="00672DDF">
        <w:rPr>
          <w:rFonts w:eastAsia="DengXian"/>
          <w:lang w:eastAsia="zh-CN"/>
        </w:rPr>
        <w:t>The following scenarios defined in TR38.901 should be considered for studying/modelling of spatial non-</w:t>
      </w:r>
      <w:proofErr w:type="gramStart"/>
      <w:r w:rsidRPr="00672DDF">
        <w:rPr>
          <w:rFonts w:eastAsia="DengXian"/>
          <w:lang w:eastAsia="zh-CN"/>
        </w:rPr>
        <w:t>stationarity</w:t>
      </w:r>
      <w:proofErr w:type="gramEnd"/>
    </w:p>
    <w:p w14:paraId="6A36785E" w14:textId="77777777" w:rsidR="007518FD" w:rsidRPr="00672DDF" w:rsidRDefault="007518FD" w:rsidP="007518FD">
      <w:pPr>
        <w:pStyle w:val="ListParagraph"/>
        <w:numPr>
          <w:ilvl w:val="0"/>
          <w:numId w:val="14"/>
        </w:numPr>
      </w:pPr>
      <w:r w:rsidRPr="00672DDF">
        <w:t>UMi, UMa, Indoor office and Indoor factory</w:t>
      </w:r>
    </w:p>
    <w:p w14:paraId="46B48F8E" w14:textId="77777777" w:rsidR="007518FD" w:rsidRPr="00672DDF" w:rsidRDefault="007518FD" w:rsidP="007518FD">
      <w:pPr>
        <w:pStyle w:val="ListParagraph"/>
        <w:numPr>
          <w:ilvl w:val="0"/>
          <w:numId w:val="14"/>
        </w:numPr>
      </w:pPr>
      <w:r w:rsidRPr="00672DDF">
        <w:t>FFS: RMa and other new scenarios</w:t>
      </w:r>
    </w:p>
    <w:p w14:paraId="17F41986"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A83E27B" w14:textId="77777777" w:rsidR="007518FD" w:rsidRPr="00672DDF" w:rsidRDefault="007518FD" w:rsidP="007518FD">
      <w:pPr>
        <w:rPr>
          <w:rFonts w:eastAsia="DengXian"/>
          <w:lang w:eastAsia="zh-CN"/>
        </w:rPr>
      </w:pPr>
      <w:r w:rsidRPr="00672DDF">
        <w:rPr>
          <w:rFonts w:eastAsia="DengXian"/>
          <w:lang w:eastAsia="zh-CN"/>
        </w:rPr>
        <w:t>For the modelling of spatial non-stationarity, at least the following options can be studied to identify the impacted ray/cluster and element-pair link:</w:t>
      </w:r>
    </w:p>
    <w:p w14:paraId="00943006" w14:textId="77777777" w:rsidR="007518FD" w:rsidRPr="00672DDF" w:rsidRDefault="007518FD" w:rsidP="007518FD">
      <w:pPr>
        <w:pStyle w:val="ListParagraph"/>
        <w:numPr>
          <w:ilvl w:val="0"/>
          <w:numId w:val="15"/>
        </w:numPr>
      </w:pPr>
      <w:r w:rsidRPr="00672DDF">
        <w:t>Option 1: Introducing</w:t>
      </w:r>
      <w:r w:rsidRPr="00672DDF">
        <w:rPr>
          <w:rFonts w:eastAsia="DengXian"/>
          <w:lang w:eastAsia="zh-CN"/>
        </w:rPr>
        <w:t xml:space="preserve"> per</w:t>
      </w:r>
      <w:r w:rsidRPr="00672DDF">
        <w:t xml:space="preserve"> ray/cluster the visible probability</w:t>
      </w:r>
      <w:r w:rsidRPr="00672DDF">
        <w:rPr>
          <w:rFonts w:eastAsia="DengXian"/>
          <w:lang w:eastAsia="zh-CN"/>
        </w:rPr>
        <w:t xml:space="preserve">, or visibility </w:t>
      </w:r>
      <w:r w:rsidRPr="00672DDF">
        <w:t>region</w:t>
      </w:r>
      <w:r w:rsidRPr="00672DDF">
        <w:rPr>
          <w:rFonts w:eastAsia="DengXian"/>
          <w:lang w:eastAsia="zh-CN"/>
        </w:rPr>
        <w:t xml:space="preserve"> </w:t>
      </w:r>
      <w:r w:rsidRPr="00672DDF">
        <w:t xml:space="preserve">for set of </w:t>
      </w:r>
      <w:proofErr w:type="gramStart"/>
      <w:r w:rsidRPr="00672DDF">
        <w:t>antenna</w:t>
      </w:r>
      <w:proofErr w:type="gramEnd"/>
      <w:r w:rsidRPr="00672DDF">
        <w:t xml:space="preserve"> element</w:t>
      </w:r>
    </w:p>
    <w:p w14:paraId="50031784" w14:textId="77777777" w:rsidR="007518FD" w:rsidRPr="00672DDF" w:rsidRDefault="007518FD" w:rsidP="007518FD">
      <w:pPr>
        <w:pStyle w:val="ListParagraph"/>
        <w:numPr>
          <w:ilvl w:val="0"/>
          <w:numId w:val="15"/>
        </w:numPr>
      </w:pPr>
      <w:r w:rsidRPr="00672DDF">
        <w:t xml:space="preserve">Option 2: Introducing the </w:t>
      </w:r>
      <w:r w:rsidRPr="00672DDF">
        <w:rPr>
          <w:rFonts w:eastAsia="DengXian"/>
          <w:lang w:eastAsia="zh-CN"/>
        </w:rPr>
        <w:t xml:space="preserve">physical blocker to emulate the </w:t>
      </w:r>
      <w:r w:rsidRPr="00672DDF">
        <w:t>blockage impact on the link for each element-</w:t>
      </w:r>
      <w:proofErr w:type="gramStart"/>
      <w:r w:rsidRPr="00672DDF">
        <w:t>pair</w:t>
      </w:r>
      <w:proofErr w:type="gramEnd"/>
      <w:r w:rsidRPr="00672DDF">
        <w:t xml:space="preserve">   </w:t>
      </w:r>
    </w:p>
    <w:p w14:paraId="21AA0BC8" w14:textId="77777777" w:rsidR="007518FD" w:rsidRPr="00672DDF" w:rsidRDefault="007518FD" w:rsidP="007518FD">
      <w:pPr>
        <w:pStyle w:val="ListParagraph"/>
        <w:numPr>
          <w:ilvl w:val="0"/>
          <w:numId w:val="15"/>
        </w:numPr>
      </w:pPr>
      <w:r w:rsidRPr="00672DDF">
        <w:t xml:space="preserve">Note: The consistency across antenna elements and across clusters should be guaranteed. </w:t>
      </w:r>
    </w:p>
    <w:p w14:paraId="37F6A5E8" w14:textId="77777777" w:rsidR="007518FD" w:rsidRPr="007518FD" w:rsidRDefault="007518FD" w:rsidP="007518FD">
      <w:pPr>
        <w:pStyle w:val="Reference"/>
        <w:numPr>
          <w:ilvl w:val="0"/>
          <w:numId w:val="0"/>
        </w:numPr>
        <w:ind w:left="567" w:hanging="567"/>
        <w:rPr>
          <w:rFonts w:ascii="Times New Roman" w:hAnsi="Times New Roman"/>
        </w:rPr>
      </w:pPr>
    </w:p>
    <w:sectPr w:rsidR="007518FD" w:rsidRPr="007518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8341148">
    <w:abstractNumId w:val="8"/>
  </w:num>
  <w:num w:numId="2" w16cid:durableId="1497916686">
    <w:abstractNumId w:val="6"/>
  </w:num>
  <w:num w:numId="3" w16cid:durableId="1128163598">
    <w:abstractNumId w:val="4"/>
  </w:num>
  <w:num w:numId="4" w16cid:durableId="570041865">
    <w:abstractNumId w:val="13"/>
  </w:num>
  <w:num w:numId="5" w16cid:durableId="1941988146">
    <w:abstractNumId w:val="11"/>
  </w:num>
  <w:num w:numId="6" w16cid:durableId="606351810">
    <w:abstractNumId w:val="2"/>
  </w:num>
  <w:num w:numId="7" w16cid:durableId="2096586335">
    <w:abstractNumId w:val="7"/>
  </w:num>
  <w:num w:numId="8" w16cid:durableId="1473712866">
    <w:abstractNumId w:val="5"/>
  </w:num>
  <w:num w:numId="9" w16cid:durableId="1620378045">
    <w:abstractNumId w:val="12"/>
  </w:num>
  <w:num w:numId="10" w16cid:durableId="666693">
    <w:abstractNumId w:val="0"/>
  </w:num>
  <w:num w:numId="11" w16cid:durableId="1739816815">
    <w:abstractNumId w:val="3"/>
  </w:num>
  <w:num w:numId="12" w16cid:durableId="1007291877">
    <w:abstractNumId w:val="9"/>
  </w:num>
  <w:num w:numId="13" w16cid:durableId="1541896019">
    <w:abstractNumId w:val="1"/>
  </w:num>
  <w:num w:numId="14" w16cid:durableId="2001538738">
    <w:abstractNumId w:val="14"/>
  </w:num>
  <w:num w:numId="15" w16cid:durableId="148801203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91784"/>
    <w:rsid w:val="00091DBD"/>
    <w:rsid w:val="000A04F6"/>
    <w:rsid w:val="000A0885"/>
    <w:rsid w:val="000A14F3"/>
    <w:rsid w:val="000A1EBF"/>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4F5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2653"/>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A81"/>
    <w:rsid w:val="00506AC0"/>
    <w:rsid w:val="00520A2B"/>
    <w:rsid w:val="00526DE5"/>
    <w:rsid w:val="005437A8"/>
    <w:rsid w:val="005478B0"/>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79D4"/>
    <w:rsid w:val="008A7D13"/>
    <w:rsid w:val="008B06D9"/>
    <w:rsid w:val="008B1951"/>
    <w:rsid w:val="008B56B9"/>
    <w:rsid w:val="008E0B5E"/>
    <w:rsid w:val="008E62CE"/>
    <w:rsid w:val="008F711C"/>
    <w:rsid w:val="00924712"/>
    <w:rsid w:val="00940D8D"/>
    <w:rsid w:val="009478BA"/>
    <w:rsid w:val="00950938"/>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5833"/>
    <w:rsid w:val="00A16F01"/>
    <w:rsid w:val="00A230FB"/>
    <w:rsid w:val="00A30764"/>
    <w:rsid w:val="00A602C7"/>
    <w:rsid w:val="00A62997"/>
    <w:rsid w:val="00A768C0"/>
    <w:rsid w:val="00A85870"/>
    <w:rsid w:val="00A87AFA"/>
    <w:rsid w:val="00AA246C"/>
    <w:rsid w:val="00AA3FA2"/>
    <w:rsid w:val="00AB2EA3"/>
    <w:rsid w:val="00AC04E3"/>
    <w:rsid w:val="00AC75FC"/>
    <w:rsid w:val="00AD0036"/>
    <w:rsid w:val="00AE202B"/>
    <w:rsid w:val="00AF6741"/>
    <w:rsid w:val="00B0210B"/>
    <w:rsid w:val="00B02F20"/>
    <w:rsid w:val="00B03B2C"/>
    <w:rsid w:val="00B06851"/>
    <w:rsid w:val="00B07ED2"/>
    <w:rsid w:val="00B1072F"/>
    <w:rsid w:val="00B20A48"/>
    <w:rsid w:val="00B23334"/>
    <w:rsid w:val="00B31CDC"/>
    <w:rsid w:val="00B65D93"/>
    <w:rsid w:val="00B71259"/>
    <w:rsid w:val="00B75DF7"/>
    <w:rsid w:val="00B818DA"/>
    <w:rsid w:val="00B91FC8"/>
    <w:rsid w:val="00B9445D"/>
    <w:rsid w:val="00BB5B18"/>
    <w:rsid w:val="00BE08AB"/>
    <w:rsid w:val="00BE4294"/>
    <w:rsid w:val="00BE634B"/>
    <w:rsid w:val="00C60403"/>
    <w:rsid w:val="00C65F47"/>
    <w:rsid w:val="00C70D9B"/>
    <w:rsid w:val="00C75017"/>
    <w:rsid w:val="00C84A36"/>
    <w:rsid w:val="00C92A48"/>
    <w:rsid w:val="00C93AED"/>
    <w:rsid w:val="00C97C9B"/>
    <w:rsid w:val="00CA68FC"/>
    <w:rsid w:val="00CB5DBA"/>
    <w:rsid w:val="00CC7070"/>
    <w:rsid w:val="00CD52B8"/>
    <w:rsid w:val="00CD532C"/>
    <w:rsid w:val="00D01276"/>
    <w:rsid w:val="00D2469B"/>
    <w:rsid w:val="00D26CB9"/>
    <w:rsid w:val="00D27FE0"/>
    <w:rsid w:val="00D323A5"/>
    <w:rsid w:val="00D363C7"/>
    <w:rsid w:val="00D44C64"/>
    <w:rsid w:val="00D76685"/>
    <w:rsid w:val="00D830DE"/>
    <w:rsid w:val="00D84E6D"/>
    <w:rsid w:val="00D86DF4"/>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6417</TotalTime>
  <Pages>6</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204</cp:revision>
  <dcterms:created xsi:type="dcterms:W3CDTF">2022-03-24T16:44:00Z</dcterms:created>
  <dcterms:modified xsi:type="dcterms:W3CDTF">2024-05-09T14:11:00Z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